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92" w:rsidRPr="00DF6492" w:rsidRDefault="00DF6492" w:rsidP="00DF6492">
      <w:pPr>
        <w:tabs>
          <w:tab w:val="left" w:pos="5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F649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Пояснювальна записка</w:t>
      </w:r>
    </w:p>
    <w:p w:rsidR="00876D55" w:rsidRPr="00876D55" w:rsidRDefault="00876D55" w:rsidP="00876D55">
      <w:pPr>
        <w:tabs>
          <w:tab w:val="left" w:pos="5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76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</w:t>
      </w:r>
      <w:r w:rsidR="00FD5F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</w:t>
      </w:r>
      <w:r w:rsidRPr="00876D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кту звіту </w:t>
      </w:r>
      <w:r w:rsidRPr="00876D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результатами визначення потреб населення Чернігівської міської територіальної громади  у соціальних послугах</w:t>
      </w:r>
    </w:p>
    <w:p w:rsidR="00F15DA1" w:rsidRDefault="00F15DA1" w:rsidP="00DF6492">
      <w:pPr>
        <w:tabs>
          <w:tab w:val="left" w:pos="5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6BAC" w:rsidRDefault="00F15DA1" w:rsidP="001A0EA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F15D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епартаментом соціальної політики </w:t>
      </w:r>
      <w:r w:rsidR="00446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ради </w:t>
      </w:r>
      <w:r w:rsidRPr="00F15D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проводилось визначення потреб населення Чернігівської міської територіальної громади у соціальних послугах на середньостроковий період відповідно до </w:t>
      </w:r>
      <w:hyperlink r:id="rId9" w:anchor="Text" w:history="1">
        <w:r w:rsidRPr="0092238E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 «Про соціальні послуги»</w:t>
        </w:r>
      </w:hyperlink>
      <w:r w:rsidRPr="00F15DA1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val="uk-UA" w:eastAsia="ru-RU"/>
        </w:rPr>
        <w:t xml:space="preserve">, </w:t>
      </w:r>
      <w:hyperlink r:id="rId10" w:anchor="Text" w:history="1">
        <w:r w:rsidRPr="0092238E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Порядку визначення потреб населення адміністративно-територіальної одиниці/територіальної громади у соціальних послугах</w:t>
        </w:r>
      </w:hyperlink>
      <w:r w:rsidRPr="00F15D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затвердженого наказом Міністерства соціальної політики України 19 квітня 2023 року № 130-Н</w:t>
      </w:r>
      <w:r w:rsidR="009D6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64A45" w:rsidRDefault="009B6BAC" w:rsidP="001A0EA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отримання необхідної для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формування звіту інформації</w:t>
      </w:r>
      <w:r w:rsidR="00F64A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були надані запити до:</w:t>
      </w:r>
      <w:r w:rsidR="00F15DA1" w:rsidRPr="00F15D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15DA1" w:rsidRPr="00F64A45" w:rsidRDefault="00BC778C" w:rsidP="001A0EA1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F15DA1" w:rsidRPr="00F64A4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правління охорони </w:t>
      </w:r>
      <w:proofErr w:type="spellStart"/>
      <w:r w:rsidR="00F15DA1" w:rsidRPr="00F64A4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</w:t>
      </w:r>
      <w:proofErr w:type="spellEnd"/>
      <w:r w:rsidR="00F15DA1" w:rsidRPr="004467DB">
        <w:rPr>
          <w:rFonts w:ascii="Times New Roman" w:eastAsia="Calibri" w:hAnsi="Times New Roman" w:cs="Times New Roman"/>
          <w:bCs/>
          <w:sz w:val="28"/>
          <w:szCs w:val="28"/>
        </w:rPr>
        <w:t>’</w:t>
      </w:r>
      <w:r w:rsidR="00F15DA1" w:rsidRPr="00F64A4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</w:t>
      </w:r>
      <w:r w:rsidR="004467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467DB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міської ради</w:t>
      </w:r>
      <w:r w:rsidR="00F15DA1" w:rsidRPr="00F64A4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F15DA1" w:rsidRPr="00F15DA1" w:rsidRDefault="00BC778C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правління освіти</w:t>
      </w:r>
      <w:r w:rsidR="004467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467DB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міської ради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F15DA1" w:rsidRPr="00F15DA1" w:rsidRDefault="00BC778C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правління економічного розвитку міста Чернігівської міської ради;</w:t>
      </w:r>
    </w:p>
    <w:p w:rsidR="00F15DA1" w:rsidRPr="00F15DA1" w:rsidRDefault="00BC778C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оловного управління статистики у Чернігівській області;</w:t>
      </w:r>
    </w:p>
    <w:p w:rsidR="00F15DA1" w:rsidRPr="00F15DA1" w:rsidRDefault="00F15DA1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Фінансового управління Чернігівської міської ради;</w:t>
      </w:r>
    </w:p>
    <w:p w:rsidR="00F15DA1" w:rsidRPr="00F15DA1" w:rsidRDefault="00BC778C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правління (служби ) у справах дітей </w:t>
      </w:r>
      <w:r w:rsidR="004467DB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міської ради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F15DA1" w:rsidRPr="00F15DA1" w:rsidRDefault="00BC778C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правління у справах сім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</w:rPr>
        <w:t>’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ї, молоді та спорту </w:t>
      </w:r>
      <w:r w:rsidR="004467DB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міської ради</w:t>
      </w:r>
      <w:r w:rsidR="00F15DA1"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F15DA1" w:rsidRPr="00F15DA1" w:rsidRDefault="00F15DA1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Чернігівської філії Чернігівського обласного центру зайнятості;</w:t>
      </w:r>
    </w:p>
    <w:p w:rsidR="00F15DA1" w:rsidRPr="004467DB" w:rsidRDefault="00F15DA1" w:rsidP="00BC778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467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Відділу державної реєстрації актів цивільного стану у місті Чернігові</w:t>
      </w:r>
      <w:r w:rsidR="004467DB" w:rsidRPr="004467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467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Східного міжрегіонального управління Міністерства юстиції;</w:t>
      </w:r>
    </w:p>
    <w:p w:rsidR="00F15DA1" w:rsidRPr="00F15DA1" w:rsidRDefault="00F15DA1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Управління ДМС у Чернігівській області;</w:t>
      </w:r>
    </w:p>
    <w:p w:rsidR="00F15DA1" w:rsidRPr="00B37482" w:rsidRDefault="00F15DA1" w:rsidP="00B37482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3748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Чернігівського районного управління поліції ГУНП в Чернігівській області;</w:t>
      </w:r>
    </w:p>
    <w:p w:rsidR="00F15DA1" w:rsidRPr="00F15DA1" w:rsidRDefault="00F15DA1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Філії ДУ «Центр </w:t>
      </w:r>
      <w:proofErr w:type="spellStart"/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пробації</w:t>
      </w:r>
      <w:proofErr w:type="spellEnd"/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 в Чернігівській області;</w:t>
      </w:r>
    </w:p>
    <w:p w:rsidR="00F15DA1" w:rsidRDefault="00F15DA1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Головного управління Пенсійного фонду України в Чернігівській області.</w:t>
      </w:r>
    </w:p>
    <w:p w:rsidR="002F6557" w:rsidRPr="00F15DA1" w:rsidRDefault="002F6557" w:rsidP="001A0EA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15DA1" w:rsidRDefault="00F15DA1" w:rsidP="001A0EA1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 надавачів соціальних послуг: </w:t>
      </w:r>
    </w:p>
    <w:p w:rsidR="002F6557" w:rsidRPr="00F15DA1" w:rsidRDefault="002F6557" w:rsidP="001A0EA1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15DA1" w:rsidRPr="00F15DA1" w:rsidRDefault="00F15DA1" w:rsidP="00D80BD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Чернігівський міський територіальний центр соціального обслуговування (надання соціальних послуг) Чернігівської міської ради;</w:t>
      </w:r>
    </w:p>
    <w:p w:rsidR="00F15DA1" w:rsidRPr="00F15DA1" w:rsidRDefault="00F15DA1" w:rsidP="00C35533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Чернігівський міський центр соціальних служб</w:t>
      </w:r>
      <w:r w:rsidR="00965D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F15DA1" w:rsidRPr="00F15DA1" w:rsidRDefault="00F15DA1" w:rsidP="00965D36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 «Чернігівський центр соціальної адаптації бездомних та безпритульних»;</w:t>
      </w:r>
    </w:p>
    <w:p w:rsidR="00F15DA1" w:rsidRPr="00F15DA1" w:rsidRDefault="00F15DA1" w:rsidP="00D80BD9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 «Голос батьків»;</w:t>
      </w:r>
    </w:p>
    <w:p w:rsidR="00F15DA1" w:rsidRPr="00F15DA1" w:rsidRDefault="00F15DA1" w:rsidP="00965D36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Чернігівська обласна організація УТОГ.</w:t>
      </w:r>
    </w:p>
    <w:p w:rsidR="00F15DA1" w:rsidRPr="00F15DA1" w:rsidRDefault="00F15DA1" w:rsidP="001A0E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визначення потреб населення Чернігівської міської територіальної громади у соціальних послугах в лютому-березні  2024 року 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було проведено анкетування шляхом розміщення анкети на офіційному сайті департаменту.</w:t>
      </w:r>
    </w:p>
    <w:p w:rsidR="00F15DA1" w:rsidRPr="00F15DA1" w:rsidRDefault="00F15DA1" w:rsidP="001A0E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До добровільного, анонімного анкетування було залучено громадян</w:t>
      </w:r>
      <w:r w:rsidR="002F655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проживають на території Чернігівської міської територіальної громади та отримують або є потенційними отримувачами соціальних послу</w:t>
      </w:r>
      <w:r w:rsidR="004467DB">
        <w:rPr>
          <w:rFonts w:ascii="Times New Roman" w:eastAsia="Calibri" w:hAnsi="Times New Roman" w:cs="Times New Roman"/>
          <w:sz w:val="28"/>
          <w:szCs w:val="28"/>
          <w:lang w:val="uk-UA"/>
        </w:rPr>
        <w:t>г,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надаються Чернігівським міським територіальним центром соціального обслуговування (надання соціальних послуг) Чернігівської міської ради, Чернігівським міським центром соціальних служб, ГО "Голос батьків", Чернігівсько</w:t>
      </w:r>
      <w:r w:rsidR="004467DB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обласно</w:t>
      </w:r>
      <w:r w:rsidR="004467DB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</w:t>
      </w:r>
      <w:r w:rsidR="004467DB">
        <w:rPr>
          <w:rFonts w:ascii="Times New Roman" w:eastAsia="Calibri" w:hAnsi="Times New Roman" w:cs="Times New Roman"/>
          <w:sz w:val="28"/>
          <w:szCs w:val="28"/>
          <w:lang w:val="uk-UA"/>
        </w:rPr>
        <w:t>єю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УТОГ, ГО «Чернігівський центр соціальної адаптації бездомних та безпритульних».</w:t>
      </w:r>
    </w:p>
    <w:p w:rsidR="00F15DA1" w:rsidRPr="00F15DA1" w:rsidRDefault="00F15DA1" w:rsidP="001A0E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Основна соціальна послуга, якої за думкою респондентів наразі не вистачає в Чернігівській міській територіальній громаді, є одна з базових соціальних послуг, інформування, яка полягає в  наданні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</w:t>
      </w:r>
      <w:r w:rsidRPr="00F15DA1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 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інших видів допомоги, робіт, послуг.</w:t>
      </w:r>
    </w:p>
    <w:p w:rsidR="00F15DA1" w:rsidRPr="00F15DA1" w:rsidRDefault="00F15DA1" w:rsidP="001A0EA1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На другому місці з соціальних послуг</w:t>
      </w:r>
      <w:r w:rsidR="004467D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яких є потреба в Чернігівській міській територіальній громаді – переклад жестовою мовою, яка також є однією із базових соціальних послуг. </w:t>
      </w:r>
      <w:r w:rsidRPr="00F15D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Також найбільш затребуваними серед респондентів були такі соціальні послуги: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консультування;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догляд вдома;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соціальна адаптація;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представництво інтересів;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натуральна допомога;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соціальний супровід;</w:t>
      </w:r>
    </w:p>
    <w:p w:rsidR="00F15DA1" w:rsidRPr="00F15DA1" w:rsidRDefault="00F15DA1" w:rsidP="001A0EA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денний догляд;</w:t>
      </w:r>
    </w:p>
    <w:p w:rsidR="00F15DA1" w:rsidRPr="00F15DA1" w:rsidRDefault="00F15DA1" w:rsidP="004467DB">
      <w:pPr>
        <w:numPr>
          <w:ilvl w:val="0"/>
          <w:numId w:val="2"/>
        </w:numPr>
        <w:spacing w:after="0"/>
        <w:ind w:hanging="35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фізичний супровід осіб з інвалідністю, які мають порушення опорно-рухового апарату та пересуваються на кріслах колісних, порушення зору;</w:t>
      </w:r>
    </w:p>
    <w:p w:rsidR="00AC2E13" w:rsidRDefault="00F15DA1" w:rsidP="001A0E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DA1"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результатами проведеного анкетування щодо рівня забезпеченості населення Чернігівської територіальної громади соціальними послугами можна зробити висновки, що у громаді налагоджена системна робота з надання соціальних послуг, якістю та змістом соціальних послуг отримувачі в більшій своїй частині  задоволені.</w:t>
      </w:r>
      <w:r w:rsid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C2E13" w:rsidRPr="00AC2E13" w:rsidRDefault="00AC2E13" w:rsidP="00AC2E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2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Але є і проблемні питання, серед яких респонденти зазначили такі як брак фахівців у сфері соціального обслуговування, відсутність необхідних </w:t>
      </w:r>
      <w:r w:rsidRPr="00AC2E1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соціальних послуг в громаді, незадовільна транспортна доступність органів системи соціального захисту та інші.</w:t>
      </w:r>
    </w:p>
    <w:p w:rsidR="00F15DA1" w:rsidRDefault="0078132A" w:rsidP="001A0E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8132A" w:rsidRPr="0078132A" w:rsidRDefault="0078132A" w:rsidP="001A0E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Надавачами соціальних послуг комунальної форми власності забезпечено надання  12 базових соціальних послуг:</w:t>
      </w:r>
    </w:p>
    <w:p w:rsidR="0078132A" w:rsidRPr="0078132A" w:rsidRDefault="0078132A" w:rsidP="001A0EA1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догляд вдома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13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листопада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2013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760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догляду вдома»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денний догляд</w:t>
      </w:r>
      <w:r w:rsidR="001A0E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Calibri" w:eastAsia="Calibri" w:hAnsi="Calibri" w:cs="Times New Roman"/>
          <w:b/>
          <w:bCs/>
          <w:color w:val="333333"/>
          <w:shd w:val="clear" w:color="auto" w:fill="FFFFFF"/>
          <w:lang w:val="uk-UA"/>
        </w:rPr>
        <w:t xml:space="preserve"> </w:t>
      </w:r>
      <w:r w:rsidR="002F6557" w:rsidRPr="002F6557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</w:t>
      </w:r>
      <w:r w:rsidR="002F6557">
        <w:rPr>
          <w:rFonts w:ascii="Calibri" w:eastAsia="Calibri" w:hAnsi="Calibri" w:cs="Times New Roman"/>
          <w:b/>
          <w:bCs/>
          <w:color w:val="333333"/>
          <w:shd w:val="clear" w:color="auto" w:fill="FFFFFF"/>
          <w:lang w:val="uk-UA"/>
        </w:rPr>
        <w:t xml:space="preserve"> 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30 липня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2013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452</w:t>
      </w:r>
      <w:r w:rsidRPr="0078132A">
        <w:rPr>
          <w:rFonts w:ascii="Calibri" w:eastAsia="Calibri" w:hAnsi="Calibri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денного догляду»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соціальна адаптація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18</w:t>
      </w:r>
      <w:r w:rsidR="002F65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травня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2015 року № 514 «Про затвердження Державного стандарту соціальної адаптації»;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соціальна інтеграція та реінтеграція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19</w:t>
      </w:r>
      <w:r w:rsidR="002F65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2013 року № 596 «Про затвердження Державного стандарту соціальної інтеграції та реінтеграції бездомних осіб» 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екстрене (кризове) втручання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</w:t>
      </w:r>
      <w:r w:rsidRPr="0078132A">
        <w:rPr>
          <w:rFonts w:ascii="Calibri" w:eastAsia="Calibri" w:hAnsi="Calibri" w:cs="Times New Roman"/>
          <w:b/>
          <w:bCs/>
          <w:color w:val="333333"/>
          <w:shd w:val="clear" w:color="auto" w:fill="FFFFFF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01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липня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2016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716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кризового та екстреного втручання»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консультування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02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липня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2015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678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консультування»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соціальний супровід сімей/осіб, які перебувають у складних життєвих обставинах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31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березня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2016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318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соціального супроводу сімей (осіб), які перебувають у складних життєвих обставинах»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представництво інтересів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30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грудня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2015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1261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представництва інтересів»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686F95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посередництво</w:t>
      </w:r>
      <w:r w:rsidRPr="0078132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17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серпня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2016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892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посередництва (медіації)»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686F95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соціальна профілактика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10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вересня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2015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912</w:t>
      </w:r>
      <w:r w:rsidRPr="0078132A">
        <w:rPr>
          <w:rFonts w:ascii="Calibri" w:eastAsia="Calibri" w:hAnsi="Calibri" w:cs="Times New Roman"/>
          <w:bCs/>
          <w:color w:val="333333"/>
          <w:sz w:val="32"/>
          <w:szCs w:val="32"/>
          <w:shd w:val="clear" w:color="auto" w:fill="FFFFFF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профілактики»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686F95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натуральна допомога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25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березня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2021 року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№ 147</w:t>
      </w:r>
      <w:r w:rsidRPr="0078132A">
        <w:rPr>
          <w:rFonts w:ascii="Calibri" w:eastAsia="Calibri" w:hAnsi="Calibri" w:cs="Times New Roman"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bCs/>
          <w:color w:val="333333"/>
          <w:sz w:val="32"/>
          <w:szCs w:val="32"/>
          <w:shd w:val="clear" w:color="auto" w:fill="FFFFFF"/>
          <w:lang w:val="uk-UA"/>
        </w:rPr>
        <w:t>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натуральної допомоги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» ;</w:t>
      </w:r>
    </w:p>
    <w:p w:rsidR="0078132A" w:rsidRPr="0078132A" w:rsidRDefault="0078132A" w:rsidP="0078132A">
      <w:pPr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інформування</w:t>
      </w:r>
      <w:r w:rsidRPr="007813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8132A" w:rsidRPr="0078132A" w:rsidRDefault="0078132A" w:rsidP="00312F3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Надавачами соціальних послуг недержавної  форми власності забезпечено надання ще 3 базових соціальних послуг:</w:t>
      </w:r>
    </w:p>
    <w:p w:rsidR="0078132A" w:rsidRPr="0078132A" w:rsidRDefault="0078132A" w:rsidP="0078132A">
      <w:pPr>
        <w:numPr>
          <w:ilvl w:val="0"/>
          <w:numId w:val="5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надання притулку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13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серпня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2013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495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надання притулку бездомним особам»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</w:t>
      </w:r>
    </w:p>
    <w:p w:rsidR="0078132A" w:rsidRPr="0078132A" w:rsidRDefault="0078132A" w:rsidP="0078132A">
      <w:pPr>
        <w:numPr>
          <w:ilvl w:val="0"/>
          <w:numId w:val="5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переклад жестовою мовою</w:t>
      </w:r>
      <w:r w:rsidR="003708B2">
        <w:rPr>
          <w:rFonts w:ascii="Times New Roman" w:eastAsia="Calibri" w:hAnsi="Times New Roman" w:cs="Times New Roman"/>
          <w:color w:val="00B050"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06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травня 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>2021 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 xml:space="preserve"> № 220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proofErr w:type="spellStart"/>
      <w:r w:rsidRPr="0078132A">
        <w:rPr>
          <w:rFonts w:ascii="Times New Roman" w:eastAsia="Calibri" w:hAnsi="Times New Roman" w:cs="Times New Roman"/>
          <w:bCs/>
          <w:sz w:val="28"/>
          <w:szCs w:val="28"/>
        </w:rPr>
        <w:t>затвердження</w:t>
      </w:r>
      <w:proofErr w:type="spellEnd"/>
      <w:r w:rsidRPr="0078132A">
        <w:rPr>
          <w:rFonts w:ascii="Times New Roman" w:eastAsia="Calibri" w:hAnsi="Times New Roman" w:cs="Times New Roman"/>
          <w:bCs/>
          <w:sz w:val="28"/>
          <w:szCs w:val="28"/>
        </w:rPr>
        <w:t xml:space="preserve"> Державного стандарту </w:t>
      </w:r>
      <w:proofErr w:type="spellStart"/>
      <w:r w:rsidRPr="0078132A">
        <w:rPr>
          <w:rFonts w:ascii="Times New Roman" w:eastAsia="Calibri" w:hAnsi="Times New Roman" w:cs="Times New Roman"/>
          <w:bCs/>
          <w:sz w:val="28"/>
          <w:szCs w:val="28"/>
        </w:rPr>
        <w:t>соціальної</w:t>
      </w:r>
      <w:proofErr w:type="spellEnd"/>
      <w:r w:rsidRPr="007813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8132A">
        <w:rPr>
          <w:rFonts w:ascii="Times New Roman" w:eastAsia="Calibri" w:hAnsi="Times New Roman" w:cs="Times New Roman"/>
          <w:bCs/>
          <w:sz w:val="28"/>
          <w:szCs w:val="28"/>
        </w:rPr>
        <w:t>послуги</w:t>
      </w:r>
      <w:proofErr w:type="spellEnd"/>
      <w:r w:rsidRPr="0078132A">
        <w:rPr>
          <w:rFonts w:ascii="Times New Roman" w:eastAsia="Calibri" w:hAnsi="Times New Roman" w:cs="Times New Roman"/>
          <w:bCs/>
          <w:sz w:val="28"/>
          <w:szCs w:val="28"/>
        </w:rPr>
        <w:t xml:space="preserve"> перекладу жестовою </w:t>
      </w:r>
      <w:proofErr w:type="spellStart"/>
      <w:r w:rsidRPr="0078132A">
        <w:rPr>
          <w:rFonts w:ascii="Times New Roman" w:eastAsia="Calibri" w:hAnsi="Times New Roman" w:cs="Times New Roman"/>
          <w:bCs/>
          <w:sz w:val="28"/>
          <w:szCs w:val="28"/>
        </w:rPr>
        <w:t>мовою</w:t>
      </w:r>
      <w:proofErr w:type="spellEnd"/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8132A" w:rsidRPr="0078132A" w:rsidRDefault="0078132A" w:rsidP="0078132A">
      <w:pPr>
        <w:numPr>
          <w:ilvl w:val="0"/>
          <w:numId w:val="5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денний догляд дітей з інвалідністю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надається відповідно до наказу </w:t>
      </w:r>
      <w:proofErr w:type="spellStart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05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квітня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2023</w:t>
      </w:r>
      <w:r w:rsidR="002F655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 № 119-Н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813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Державного стандарту соціальної послуги денного догляду дітей з інвалідністю»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8132A" w:rsidRPr="0078132A" w:rsidRDefault="0078132A" w:rsidP="001F11C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Не надаються наступні базові соціальні послуги:</w:t>
      </w:r>
    </w:p>
    <w:p w:rsidR="0078132A" w:rsidRPr="0078132A" w:rsidRDefault="0078132A" w:rsidP="0078132A">
      <w:pPr>
        <w:numPr>
          <w:ilvl w:val="0"/>
          <w:numId w:val="6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підтримане проживання</w:t>
      </w:r>
      <w:r w:rsidR="007B06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;</w:t>
      </w:r>
    </w:p>
    <w:p w:rsidR="0078132A" w:rsidRDefault="0078132A" w:rsidP="0078132A">
      <w:pPr>
        <w:numPr>
          <w:ilvl w:val="0"/>
          <w:numId w:val="7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фізичний супровід осіб з інвалідністю, які мають порушення опорно-рухового апарату та пересуваються на кріслах колісних, порушення зору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B3B36" w:rsidRPr="00FB3B36" w:rsidRDefault="0078132A" w:rsidP="0078132A">
      <w:pPr>
        <w:numPr>
          <w:ilvl w:val="0"/>
          <w:numId w:val="7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догляд та виховання дітей в умовах, наближених до сімейних</w:t>
      </w:r>
      <w:r w:rsidR="00FB3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>;</w:t>
      </w: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7B06F2" w:rsidRPr="00FB3B36" w:rsidRDefault="0078132A" w:rsidP="0078132A">
      <w:pPr>
        <w:numPr>
          <w:ilvl w:val="0"/>
          <w:numId w:val="7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супровід під час інклюзивного навчання</w:t>
      </w:r>
      <w:r w:rsidR="00BB51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;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B5135" w:rsidRPr="00BB5135" w:rsidRDefault="0078132A" w:rsidP="007B06F2">
      <w:pPr>
        <w:numPr>
          <w:ilvl w:val="0"/>
          <w:numId w:val="7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медіація</w:t>
      </w:r>
      <w:r w:rsidR="00BB51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78132A" w:rsidRPr="0078132A" w:rsidRDefault="0078132A" w:rsidP="00BB5135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На регіональному рівні функціонують такі надавачі соціальних послуг: Чернігівський геріатричний пансіонат, Комунальна установа "Обласний центр комплексної реабілітації дітей з інвалідністю «Відродження» Чернігівської обласної ради, Чернігівський обласний центр соціально-психологічної допомоги та інші.</w:t>
      </w:r>
    </w:p>
    <w:p w:rsidR="0078132A" w:rsidRPr="0078132A" w:rsidRDefault="0078132A" w:rsidP="007813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Соціальні послуги з догляду на непрофесійній основі надають фізичні особи без здійснення підприємницької діяльності, без проходження навчання, особам з числа членів сім'ї, які спільно проживають, пов’язані спільним побутом, мають взаємні права та обов’язки. </w:t>
      </w:r>
    </w:p>
    <w:p w:rsidR="0078132A" w:rsidRPr="0078132A" w:rsidRDefault="0078132A" w:rsidP="007813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Фізичним особам, які надають соціальні послуги з догляду без здійснення підприємницької діяльності, виплачується компенсація на догляд відповідно постанови Кабінету Міністрів України від 23</w:t>
      </w:r>
      <w:r w:rsidR="002F65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</w:t>
      </w: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2020 року № 859 «Деякі питання призначення і виплати компенсації фізичним особам, які надають соціальні послуги з догляду на непрофесійній основі».</w:t>
      </w:r>
    </w:p>
    <w:p w:rsidR="0078132A" w:rsidRPr="0078132A" w:rsidRDefault="0078132A" w:rsidP="007813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132A">
        <w:rPr>
          <w:rFonts w:ascii="Times New Roman" w:eastAsia="Calibri" w:hAnsi="Times New Roman" w:cs="Times New Roman"/>
          <w:sz w:val="28"/>
          <w:szCs w:val="28"/>
          <w:lang w:val="uk-UA"/>
        </w:rPr>
        <w:t>За 2023 рік призначено і виплачено компенсацію 529 особам ( на суму 7897,9 тис. грн).</w:t>
      </w:r>
    </w:p>
    <w:p w:rsidR="0078132A" w:rsidRDefault="00817048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 квітня 2024 року відбулося засідання робочої групи</w:t>
      </w:r>
      <w:r w:rsidR="00296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6ED6" w:rsidRPr="00296ED6">
        <w:rPr>
          <w:rFonts w:ascii="Times New Roman" w:eastAsia="Calibri" w:hAnsi="Times New Roman" w:cs="Times New Roman"/>
          <w:sz w:val="28"/>
          <w:szCs w:val="28"/>
          <w:lang w:val="uk-UA"/>
        </w:rPr>
        <w:t>з питань визначення потреб населення Чернігівської міської територіальної громади у соціальних послугах</w:t>
      </w:r>
      <w:r w:rsidR="002C67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Робоча група)</w:t>
      </w:r>
      <w:r w:rsidR="002F655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D54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 і положення про яку були затверджені </w:t>
      </w:r>
      <w:r w:rsidR="00FD54E6" w:rsidRPr="00FD54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міського голови від 1 лютого 2024 року № 12-р “Про створення та функціонування робочої групи з питань визначення потреб </w:t>
      </w:r>
      <w:r w:rsidR="00FD54E6" w:rsidRPr="00FD54E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населення Чернігівської міської територіальної громади у соціальних послугах”</w:t>
      </w:r>
      <w:r w:rsidR="003651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D54E6" w:rsidRPr="00FD54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D54E6" w:rsidRPr="00FD54E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672B66" w:rsidRPr="00672B66" w:rsidRDefault="00672B66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Надані членами робочої групи зауваження і пропозиції були враховані при остаточному варіанті проекту звіту</w:t>
      </w:r>
      <w:r w:rsidR="00BC7C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C6781" w:rsidRDefault="002C6781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="00A40D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Порядку визначення потреб населенн</w:t>
      </w:r>
      <w:r w:rsidR="00815859">
        <w:rPr>
          <w:rFonts w:ascii="Times New Roman" w:eastAsia="Calibri" w:hAnsi="Times New Roman" w:cs="Times New Roman"/>
          <w:sz w:val="28"/>
          <w:szCs w:val="28"/>
          <w:lang w:val="uk-UA"/>
        </w:rPr>
        <w:t>я адміністративно-територіальної одиниці/територіальної громади у соціальних послугах затвердженому наказом Міністерства соціальної політики України</w:t>
      </w:r>
      <w:r w:rsidR="0080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19 квітня 2023 року № 130-Н</w:t>
      </w:r>
      <w:r w:rsidR="00BC7C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проект звіту підлягає громадському обговоренню</w:t>
      </w:r>
      <w:r w:rsidR="00F574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забезпечується шляхом його оприлюднення на офіційному </w:t>
      </w:r>
      <w:r w:rsidR="002954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веб-сайті виконавчого органу міської ради. Отримані від </w:t>
      </w:r>
      <w:r w:rsidR="00AD2EED">
        <w:rPr>
          <w:rFonts w:ascii="Times New Roman" w:eastAsia="Calibri" w:hAnsi="Times New Roman" w:cs="Times New Roman"/>
          <w:sz w:val="28"/>
          <w:szCs w:val="28"/>
          <w:lang w:val="uk-UA"/>
        </w:rPr>
        <w:t>громадськості пропозиції/зауваження беруться до уваги</w:t>
      </w:r>
      <w:r w:rsidR="00D836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формуванні остаточного звіту.</w:t>
      </w:r>
    </w:p>
    <w:p w:rsidR="00D836E9" w:rsidRDefault="00D836E9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36E9" w:rsidRDefault="00D836E9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36E9" w:rsidRDefault="00D836E9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36E9" w:rsidRDefault="00D836E9" w:rsidP="00FD54E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36E9" w:rsidRPr="00F15DA1" w:rsidRDefault="00D836E9" w:rsidP="00D836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директора департаменту                          Людмила КОЛИЧЕВА</w:t>
      </w:r>
    </w:p>
    <w:sectPr w:rsidR="00D836E9" w:rsidRPr="00F15DA1" w:rsidSect="00BC778C">
      <w:headerReference w:type="default" r:id="rId11"/>
      <w:pgSz w:w="11907" w:h="16840" w:code="9"/>
      <w:pgMar w:top="1134" w:right="567" w:bottom="1134" w:left="1701" w:header="45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36" w:rsidRDefault="00965D36">
      <w:pPr>
        <w:spacing w:after="0" w:line="240" w:lineRule="auto"/>
      </w:pPr>
      <w:r>
        <w:separator/>
      </w:r>
    </w:p>
  </w:endnote>
  <w:endnote w:type="continuationSeparator" w:id="0">
    <w:p w:rsidR="00965D36" w:rsidRDefault="0096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36" w:rsidRDefault="00965D36">
      <w:pPr>
        <w:spacing w:after="0" w:line="240" w:lineRule="auto"/>
      </w:pPr>
      <w:r>
        <w:separator/>
      </w:r>
    </w:p>
  </w:footnote>
  <w:footnote w:type="continuationSeparator" w:id="0">
    <w:p w:rsidR="00965D36" w:rsidRDefault="0096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36" w:rsidRPr="0097703F" w:rsidRDefault="00965D36" w:rsidP="00BC778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7703F">
      <w:rPr>
        <w:rStyle w:val="a5"/>
        <w:sz w:val="28"/>
        <w:szCs w:val="28"/>
      </w:rPr>
      <w:fldChar w:fldCharType="begin"/>
    </w:r>
    <w:r w:rsidRPr="0097703F">
      <w:rPr>
        <w:rStyle w:val="a5"/>
        <w:sz w:val="28"/>
        <w:szCs w:val="28"/>
      </w:rPr>
      <w:instrText xml:space="preserve">PAGE  </w:instrText>
    </w:r>
    <w:r w:rsidRPr="0097703F">
      <w:rPr>
        <w:rStyle w:val="a5"/>
        <w:sz w:val="28"/>
        <w:szCs w:val="28"/>
      </w:rPr>
      <w:fldChar w:fldCharType="separate"/>
    </w:r>
    <w:r w:rsidR="0092238E">
      <w:rPr>
        <w:rStyle w:val="a5"/>
        <w:noProof/>
        <w:sz w:val="28"/>
        <w:szCs w:val="28"/>
      </w:rPr>
      <w:t>2</w:t>
    </w:r>
    <w:r w:rsidRPr="0097703F">
      <w:rPr>
        <w:rStyle w:val="a5"/>
        <w:sz w:val="28"/>
        <w:szCs w:val="28"/>
      </w:rPr>
      <w:fldChar w:fldCharType="end"/>
    </w:r>
  </w:p>
  <w:p w:rsidR="00965D36" w:rsidRPr="0097703F" w:rsidRDefault="00965D36" w:rsidP="00BC778C">
    <w:pPr>
      <w:tabs>
        <w:tab w:val="left" w:pos="12474"/>
      </w:tabs>
      <w:spacing w:line="360" w:lineRule="auto"/>
      <w:ind w:left="6521" w:firstLine="142"/>
      <w:jc w:val="right"/>
      <w:rPr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13F6"/>
    <w:multiLevelType w:val="hybridMultilevel"/>
    <w:tmpl w:val="442A4B16"/>
    <w:lvl w:ilvl="0" w:tplc="0080AA2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AB1ED0"/>
    <w:multiLevelType w:val="hybridMultilevel"/>
    <w:tmpl w:val="1410068E"/>
    <w:lvl w:ilvl="0" w:tplc="FCA4C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2921"/>
    <w:multiLevelType w:val="hybridMultilevel"/>
    <w:tmpl w:val="0A1894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9D57A9"/>
    <w:multiLevelType w:val="hybridMultilevel"/>
    <w:tmpl w:val="77C65D38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5EDF"/>
    <w:multiLevelType w:val="hybridMultilevel"/>
    <w:tmpl w:val="D186830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493DFD"/>
    <w:multiLevelType w:val="hybridMultilevel"/>
    <w:tmpl w:val="9FC256BC"/>
    <w:lvl w:ilvl="0" w:tplc="0419000B">
      <w:start w:val="1"/>
      <w:numFmt w:val="bullet"/>
      <w:lvlText w:val=""/>
      <w:lvlJc w:val="left"/>
      <w:pPr>
        <w:ind w:left="2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6">
    <w:nsid w:val="6C387D6D"/>
    <w:multiLevelType w:val="hybridMultilevel"/>
    <w:tmpl w:val="2D6612F0"/>
    <w:lvl w:ilvl="0" w:tplc="0419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92"/>
    <w:rsid w:val="001A0EA1"/>
    <w:rsid w:val="001F11C0"/>
    <w:rsid w:val="002954DC"/>
    <w:rsid w:val="00296ED6"/>
    <w:rsid w:val="002C6781"/>
    <w:rsid w:val="002F6557"/>
    <w:rsid w:val="00312F37"/>
    <w:rsid w:val="0036519E"/>
    <w:rsid w:val="003708B2"/>
    <w:rsid w:val="004467DB"/>
    <w:rsid w:val="0049761E"/>
    <w:rsid w:val="005677B9"/>
    <w:rsid w:val="00672B66"/>
    <w:rsid w:val="00686F95"/>
    <w:rsid w:val="006C1319"/>
    <w:rsid w:val="006D377F"/>
    <w:rsid w:val="0078132A"/>
    <w:rsid w:val="007A18CE"/>
    <w:rsid w:val="007B06F2"/>
    <w:rsid w:val="008030AC"/>
    <w:rsid w:val="00815859"/>
    <w:rsid w:val="00817048"/>
    <w:rsid w:val="00821A61"/>
    <w:rsid w:val="00876D55"/>
    <w:rsid w:val="0092238E"/>
    <w:rsid w:val="00965D36"/>
    <w:rsid w:val="009B6BAC"/>
    <w:rsid w:val="009D613F"/>
    <w:rsid w:val="00A40D0E"/>
    <w:rsid w:val="00AC2E13"/>
    <w:rsid w:val="00AD2EED"/>
    <w:rsid w:val="00B37482"/>
    <w:rsid w:val="00BB5135"/>
    <w:rsid w:val="00BC778C"/>
    <w:rsid w:val="00BC7CA9"/>
    <w:rsid w:val="00C35533"/>
    <w:rsid w:val="00CF3087"/>
    <w:rsid w:val="00D80BD9"/>
    <w:rsid w:val="00D836E9"/>
    <w:rsid w:val="00DF6492"/>
    <w:rsid w:val="00DF6FC7"/>
    <w:rsid w:val="00E345FA"/>
    <w:rsid w:val="00E76413"/>
    <w:rsid w:val="00EA6571"/>
    <w:rsid w:val="00F15DA1"/>
    <w:rsid w:val="00F574BA"/>
    <w:rsid w:val="00F64A45"/>
    <w:rsid w:val="00FB3B36"/>
    <w:rsid w:val="00FD54E6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6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DF649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DF6492"/>
    <w:rPr>
      <w:rFonts w:cs="Times New Roman"/>
    </w:rPr>
  </w:style>
  <w:style w:type="paragraph" w:styleId="a6">
    <w:name w:val="List Paragraph"/>
    <w:basedOn w:val="a"/>
    <w:uiPriority w:val="34"/>
    <w:qFormat/>
    <w:rsid w:val="00F64A4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1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6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DF649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DF6492"/>
    <w:rPr>
      <w:rFonts w:cs="Times New Roman"/>
    </w:rPr>
  </w:style>
  <w:style w:type="paragraph" w:styleId="a6">
    <w:name w:val="List Paragraph"/>
    <w:basedOn w:val="a"/>
    <w:uiPriority w:val="34"/>
    <w:qFormat/>
    <w:rsid w:val="00F64A4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1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1169-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67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AFD0-1E7F-4A96-B8DC-23BF2D08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</cp:lastModifiedBy>
  <cp:revision>6</cp:revision>
  <dcterms:created xsi:type="dcterms:W3CDTF">2024-04-23T11:20:00Z</dcterms:created>
  <dcterms:modified xsi:type="dcterms:W3CDTF">2024-04-24T08:40:00Z</dcterms:modified>
</cp:coreProperties>
</file>